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293" w:rsidRPr="009C039C" w:rsidRDefault="00E8453A" w:rsidP="00443293">
      <w:pPr>
        <w:widowControl w:val="0"/>
        <w:tabs>
          <w:tab w:val="left" w:pos="360"/>
        </w:tabs>
        <w:rPr>
          <w:rFonts w:ascii="Times New Roman" w:hAnsi="Times New Roman" w:cs="Times New Roman"/>
          <w:sz w:val="24"/>
          <w:szCs w:val="24"/>
        </w:rPr>
      </w:pPr>
      <w:bookmarkStart w:id="0" w:name="_GoBack"/>
      <w:bookmarkEnd w:id="0"/>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A642B"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D36F10" w:rsidRDefault="00D36F10" w:rsidP="00323003">
      <w:pPr>
        <w:widowControl w:val="0"/>
        <w:jc w:val="center"/>
        <w:rPr>
          <w:rFonts w:ascii="Times New Roman" w:hAnsi="Times New Roman" w:cs="Times New Roman"/>
          <w:b/>
          <w:bCs/>
          <w:sz w:val="24"/>
          <w:szCs w:val="24"/>
        </w:rPr>
      </w:pPr>
    </w:p>
    <w:p w:rsidR="00D36F10" w:rsidRDefault="00D36F10" w:rsidP="00323003">
      <w:pPr>
        <w:widowControl w:val="0"/>
        <w:jc w:val="center"/>
        <w:rPr>
          <w:rFonts w:ascii="Times New Roman" w:hAnsi="Times New Roman" w:cs="Times New Roman"/>
          <w:b/>
          <w:bCs/>
          <w:sz w:val="24"/>
          <w:szCs w:val="24"/>
        </w:rPr>
      </w:pPr>
    </w:p>
    <w:p w:rsidR="00323003" w:rsidRPr="009C039C" w:rsidRDefault="00D11AC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w:t>
      </w:r>
      <w:r w:rsidR="00012D17">
        <w:rPr>
          <w:rFonts w:ascii="Times New Roman" w:hAnsi="Times New Roman" w:cs="Times New Roman"/>
          <w:b/>
          <w:bCs/>
          <w:sz w:val="24"/>
          <w:szCs w:val="24"/>
        </w:rPr>
        <w:t>1</w:t>
      </w:r>
      <w:r>
        <w:rPr>
          <w:rFonts w:ascii="Times New Roman" w:hAnsi="Times New Roman" w:cs="Times New Roman"/>
          <w:b/>
          <w:bCs/>
          <w:sz w:val="24"/>
          <w:szCs w:val="24"/>
        </w:rPr>
        <w:t>-3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 xml:space="preserve">Interchange </w:t>
      </w:r>
      <w:r w:rsidR="00D36F10">
        <w:rPr>
          <w:rFonts w:ascii="Times New Roman" w:hAnsi="Times New Roman" w:cs="Times New Roman"/>
          <w:b/>
          <w:bCs/>
          <w:sz w:val="24"/>
          <w:szCs w:val="24"/>
        </w:rPr>
        <w:t>Information</w:t>
      </w:r>
    </w:p>
    <w:p w:rsidR="00323003" w:rsidRPr="009C039C" w:rsidRDefault="00323003" w:rsidP="00323003">
      <w:pPr>
        <w:widowControl w:val="0"/>
        <w:jc w:val="center"/>
        <w:rPr>
          <w:rFonts w:ascii="Times New Roman" w:hAnsi="Times New Roman" w:cs="Times New Roman"/>
          <w:sz w:val="24"/>
          <w:szCs w:val="24"/>
        </w:rPr>
      </w:pP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323003" w:rsidRPr="009C039C" w:rsidRDefault="00323003" w:rsidP="00A9700A">
      <w:pPr>
        <w:widowControl w:val="0"/>
        <w:tabs>
          <w:tab w:val="left" w:pos="480"/>
        </w:tabs>
        <w:spacing w:line="331" w:lineRule="exact"/>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323003" w:rsidRDefault="00323003" w:rsidP="00A9700A">
      <w:pPr>
        <w:widowControl w:val="0"/>
        <w:tabs>
          <w:tab w:val="left" w:pos="480"/>
        </w:tabs>
        <w:spacing w:line="331" w:lineRule="exact"/>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36F10" w:rsidRDefault="00D36F10" w:rsidP="00A9700A">
      <w:pPr>
        <w:widowControl w:val="0"/>
        <w:tabs>
          <w:tab w:val="left" w:pos="480"/>
          <w:tab w:val="left" w:pos="3720"/>
        </w:tabs>
        <w:spacing w:line="331" w:lineRule="exact"/>
        <w:ind w:left="450"/>
        <w:rPr>
          <w:rFonts w:ascii="Times New Roman" w:hAnsi="Times New Roman" w:cs="Times New Roman"/>
          <w:b/>
          <w:bCs/>
          <w:color w:val="264D74"/>
          <w:sz w:val="24"/>
          <w:szCs w:val="24"/>
        </w:rPr>
      </w:pPr>
    </w:p>
    <w:p w:rsidR="000F5E13" w:rsidRPr="009C039C" w:rsidRDefault="00323003" w:rsidP="00A9700A">
      <w:pPr>
        <w:widowControl w:val="0"/>
        <w:tabs>
          <w:tab w:val="left" w:pos="480"/>
          <w:tab w:val="left" w:pos="3720"/>
        </w:tabs>
        <w:spacing w:line="331" w:lineRule="exact"/>
        <w:ind w:left="450"/>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D36F10">
        <w:rPr>
          <w:rFonts w:ascii="Times New Roman" w:hAnsi="Times New Roman" w:cs="Times New Roman"/>
          <w:b/>
          <w:bCs/>
          <w:color w:val="264D74"/>
          <w:sz w:val="24"/>
          <w:szCs w:val="24"/>
        </w:rPr>
        <w:t xml:space="preserve">  </w:t>
      </w:r>
      <w:r w:rsidR="00012D17">
        <w:rPr>
          <w:rFonts w:ascii="Times New Roman" w:hAnsi="Times New Roman" w:cs="Times New Roman"/>
          <w:b/>
          <w:bCs/>
          <w:color w:val="000000"/>
          <w:sz w:val="24"/>
          <w:szCs w:val="24"/>
        </w:rPr>
        <w:t>PSE, BA</w:t>
      </w:r>
    </w:p>
    <w:p w:rsidR="00D36F10" w:rsidRDefault="00D36F10" w:rsidP="00A9700A">
      <w:pPr>
        <w:widowControl w:val="0"/>
        <w:tabs>
          <w:tab w:val="left" w:pos="90"/>
          <w:tab w:val="left" w:pos="720"/>
        </w:tabs>
        <w:spacing w:line="294" w:lineRule="exact"/>
        <w:ind w:left="450"/>
        <w:rPr>
          <w:rFonts w:ascii="Times New Roman" w:hAnsi="Times New Roman" w:cs="Times New Roman"/>
          <w:b/>
          <w:bCs/>
          <w:color w:val="264D74"/>
          <w:sz w:val="24"/>
          <w:szCs w:val="24"/>
        </w:rPr>
      </w:pPr>
    </w:p>
    <w:p w:rsidR="00A74C27" w:rsidRDefault="00D36F10" w:rsidP="00A9700A">
      <w:pPr>
        <w:widowControl w:val="0"/>
        <w:tabs>
          <w:tab w:val="left" w:pos="90"/>
          <w:tab w:val="left" w:pos="720"/>
        </w:tabs>
        <w:spacing w:line="294" w:lineRule="exact"/>
        <w:ind w:left="450"/>
        <w:rPr>
          <w:b/>
          <w:bCs/>
          <w:color w:val="264D74"/>
          <w:sz w:val="24"/>
          <w:szCs w:val="24"/>
        </w:rPr>
      </w:pPr>
      <w:r>
        <w:rPr>
          <w:rFonts w:ascii="Times New Roman" w:hAnsi="Times New Roman" w:cs="Times New Roman"/>
          <w:b/>
          <w:bCs/>
          <w:color w:val="264D74"/>
          <w:sz w:val="24"/>
          <w:szCs w:val="24"/>
        </w:rPr>
        <w:t>A</w:t>
      </w:r>
      <w:r w:rsidR="00A74C27">
        <w:rPr>
          <w:rFonts w:ascii="Times New Roman" w:hAnsi="Times New Roman" w:cs="Times New Roman"/>
          <w:b/>
          <w:color w:val="17365D"/>
          <w:sz w:val="24"/>
          <w:szCs w:val="24"/>
        </w:rPr>
        <w:t>uditors:</w:t>
      </w:r>
      <w:r w:rsidR="00A74C27">
        <w:rPr>
          <w:rFonts w:ascii="Times New Roman" w:hAnsi="Times New Roman" w:cs="Times New Roman"/>
          <w:b/>
          <w:sz w:val="24"/>
          <w:szCs w:val="24"/>
        </w:rPr>
        <w:tab/>
      </w:r>
    </w:p>
    <w:p w:rsidR="000F5E13" w:rsidRPr="009C039C" w:rsidRDefault="000F5E13" w:rsidP="00A9700A">
      <w:pPr>
        <w:widowControl w:val="0"/>
        <w:tabs>
          <w:tab w:val="left" w:pos="60"/>
        </w:tabs>
        <w:spacing w:line="294" w:lineRule="exact"/>
        <w:ind w:left="450"/>
        <w:rPr>
          <w:rFonts w:ascii="Times New Roman" w:hAnsi="Times New Roman" w:cs="Times New Roman"/>
          <w:b/>
          <w:bCs/>
          <w:color w:val="264D74"/>
          <w:sz w:val="24"/>
          <w:szCs w:val="24"/>
        </w:rPr>
      </w:pPr>
    </w:p>
    <w:p w:rsidR="000F5E13" w:rsidRPr="009C039C" w:rsidRDefault="000F5E13" w:rsidP="00A9700A">
      <w:pPr>
        <w:widowControl w:val="0"/>
        <w:tabs>
          <w:tab w:val="left" w:pos="60"/>
        </w:tabs>
        <w:spacing w:line="294" w:lineRule="exact"/>
        <w:ind w:left="450"/>
        <w:rPr>
          <w:rFonts w:ascii="Times New Roman" w:hAnsi="Times New Roman" w:cs="Times New Roman"/>
          <w:b/>
          <w:bCs/>
          <w:color w:val="264D74"/>
          <w:sz w:val="24"/>
          <w:szCs w:val="24"/>
        </w:rPr>
      </w:pPr>
    </w:p>
    <w:p w:rsidR="00E8453A" w:rsidRPr="009C039C" w:rsidRDefault="00AD5422" w:rsidP="00A9700A">
      <w:pPr>
        <w:widowControl w:val="0"/>
        <w:spacing w:line="783" w:lineRule="exact"/>
        <w:ind w:left="450"/>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D36F10" w:rsidRDefault="00AD5422" w:rsidP="00D36F10">
      <w:pPr>
        <w:pStyle w:val="Heading1"/>
      </w:pPr>
      <w:r w:rsidRPr="00D36F10">
        <w:lastRenderedPageBreak/>
        <w:t>Subject Matter Experts</w:t>
      </w:r>
    </w:p>
    <w:p w:rsidR="00D36F10" w:rsidRDefault="00D36F10"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C23A94" w:rsidRDefault="00C23A94" w:rsidP="00D36F10">
      <w:pPr>
        <w:pStyle w:val="Heading1"/>
      </w:pPr>
      <w:r>
        <w:t>Reliability Standard Language</w:t>
      </w:r>
    </w:p>
    <w:p w:rsidR="00C23A94" w:rsidRPr="00D36F10" w:rsidRDefault="00C23A94" w:rsidP="00A86374">
      <w:pPr>
        <w:widowControl w:val="0"/>
        <w:tabs>
          <w:tab w:val="left" w:pos="120"/>
        </w:tabs>
        <w:spacing w:line="331" w:lineRule="exact"/>
        <w:rPr>
          <w:rFonts w:ascii="Times New Roman" w:hAnsi="Times New Roman" w:cs="Times New Roman"/>
          <w:b/>
          <w:bCs/>
          <w:color w:val="264D74"/>
          <w:sz w:val="16"/>
          <w:szCs w:val="16"/>
        </w:rPr>
      </w:pPr>
    </w:p>
    <w:p w:rsidR="00D36F10" w:rsidRPr="001F467C" w:rsidRDefault="00D36F10" w:rsidP="00D36F10">
      <w:pPr>
        <w:widowControl w:val="0"/>
        <w:shd w:val="clear" w:color="auto" w:fill="D3DCE9"/>
        <w:spacing w:line="120" w:lineRule="exact"/>
        <w:rPr>
          <w:rFonts w:ascii="Times New Roman" w:hAnsi="Times New Roman" w:cs="Times New Roman"/>
          <w:sz w:val="24"/>
          <w:szCs w:val="24"/>
        </w:rPr>
      </w:pPr>
    </w:p>
    <w:p w:rsidR="00D36F10" w:rsidRPr="001F467C" w:rsidRDefault="00D36F10" w:rsidP="00D36F10">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INT-001-3</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Information</w:t>
      </w:r>
    </w:p>
    <w:p w:rsidR="00D36F10" w:rsidRPr="001F467C" w:rsidRDefault="00D36F10" w:rsidP="00D36F10">
      <w:pPr>
        <w:widowControl w:val="0"/>
        <w:shd w:val="clear" w:color="auto" w:fill="D3DCE9"/>
        <w:spacing w:line="135" w:lineRule="exact"/>
        <w:rPr>
          <w:rFonts w:ascii="Times New Roman" w:hAnsi="Times New Roman" w:cs="Times New Roman"/>
          <w:sz w:val="24"/>
          <w:szCs w:val="24"/>
        </w:rPr>
      </w:pPr>
    </w:p>
    <w:p w:rsidR="00D36F10" w:rsidRDefault="00D36F10" w:rsidP="00A86374">
      <w:pPr>
        <w:widowControl w:val="0"/>
        <w:tabs>
          <w:tab w:val="left" w:pos="120"/>
        </w:tabs>
        <w:spacing w:line="331" w:lineRule="exact"/>
        <w:rPr>
          <w:rFonts w:ascii="Times New Roman" w:hAnsi="Times New Roman" w:cs="Times New Roman"/>
          <w:b/>
          <w:bCs/>
          <w:color w:val="264D74"/>
          <w:sz w:val="24"/>
          <w:szCs w:val="24"/>
        </w:rPr>
      </w:pPr>
    </w:p>
    <w:p w:rsidR="00FD644F" w:rsidRDefault="00FD644F" w:rsidP="00A86374">
      <w:pPr>
        <w:widowControl w:val="0"/>
        <w:tabs>
          <w:tab w:val="left" w:pos="120"/>
        </w:tabs>
        <w:spacing w:line="331" w:lineRule="exact"/>
        <w:rPr>
          <w:rFonts w:ascii="Times New Roman" w:hAnsi="Times New Roman" w:cs="Times New Roman"/>
          <w:b/>
          <w:bCs/>
          <w:color w:val="264D74"/>
          <w:sz w:val="24"/>
          <w:szCs w:val="24"/>
        </w:rPr>
      </w:pPr>
    </w:p>
    <w:p w:rsidR="00B1741E" w:rsidRDefault="00E8453A" w:rsidP="00B1741E">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p>
    <w:p w:rsidR="00D36F10" w:rsidRPr="00D36F10" w:rsidRDefault="00D36F10" w:rsidP="00B1741E">
      <w:pPr>
        <w:rPr>
          <w:rFonts w:ascii="Times New Roman" w:hAnsi="Times New Roman" w:cs="Times New Roman"/>
          <w:sz w:val="16"/>
          <w:szCs w:val="16"/>
        </w:rPr>
      </w:pPr>
    </w:p>
    <w:p w:rsidR="00E8453A" w:rsidRPr="00B1741E" w:rsidRDefault="00B1741E" w:rsidP="00B1741E">
      <w:pPr>
        <w:rPr>
          <w:rFonts w:ascii="Times New Roman" w:hAnsi="Times New Roman" w:cs="Times New Roman"/>
          <w:sz w:val="24"/>
          <w:szCs w:val="24"/>
        </w:rPr>
      </w:pPr>
      <w:r>
        <w:rPr>
          <w:rFonts w:ascii="Times New Roman" w:hAnsi="Times New Roman" w:cs="Times New Roman"/>
          <w:sz w:val="24"/>
          <w:szCs w:val="24"/>
        </w:rPr>
        <w:t>To ensure that Interchange information is submitted to the NERC-identified reliability analysis service.</w:t>
      </w:r>
    </w:p>
    <w:p w:rsidR="00E8453A" w:rsidRPr="009C039C" w:rsidRDefault="00E8453A">
      <w:pPr>
        <w:widowControl w:val="0"/>
        <w:spacing w:line="120" w:lineRule="exact"/>
        <w:rPr>
          <w:rFonts w:ascii="Times New Roman" w:hAnsi="Times New Roman" w:cs="Times New Roman"/>
          <w:sz w:val="24"/>
          <w:szCs w:val="24"/>
        </w:rPr>
      </w:pPr>
    </w:p>
    <w:p w:rsidR="00756289"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FD644F" w:rsidRPr="009C039C" w:rsidRDefault="00FD644F">
      <w:pPr>
        <w:widowControl w:val="0"/>
        <w:tabs>
          <w:tab w:val="left" w:pos="840"/>
        </w:tabs>
        <w:spacing w:line="294" w:lineRule="exact"/>
        <w:rPr>
          <w:rFonts w:ascii="Times New Roman" w:hAnsi="Times New Roman" w:cs="Times New Roman"/>
          <w:sz w:val="24"/>
          <w:szCs w:val="24"/>
        </w:rPr>
      </w:pPr>
    </w:p>
    <w:p w:rsidR="00D36F10"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742473" w:rsidRPr="00D36F10" w:rsidRDefault="00742473" w:rsidP="00742473">
      <w:pPr>
        <w:widowControl w:val="0"/>
        <w:tabs>
          <w:tab w:val="left" w:pos="840"/>
        </w:tabs>
        <w:spacing w:line="294" w:lineRule="exact"/>
        <w:ind w:left="1080"/>
        <w:rPr>
          <w:rFonts w:ascii="Times New Roman" w:hAnsi="Times New Roman" w:cs="Times New Roman"/>
          <w:sz w:val="24"/>
          <w:szCs w:val="24"/>
        </w:rPr>
      </w:pPr>
      <w:r w:rsidRPr="00D36F10">
        <w:rPr>
          <w:rFonts w:ascii="Times New Roman" w:hAnsi="Times New Roman" w:cs="Times New Roman"/>
          <w:bCs/>
          <w:sz w:val="24"/>
          <w:szCs w:val="24"/>
        </w:rPr>
        <w:t>Purchas</w:t>
      </w:r>
      <w:r>
        <w:rPr>
          <w:rFonts w:ascii="Times New Roman" w:hAnsi="Times New Roman" w:cs="Times New Roman"/>
          <w:bCs/>
          <w:sz w:val="24"/>
          <w:szCs w:val="24"/>
        </w:rPr>
        <w:t>e-Selling Entities</w:t>
      </w:r>
    </w:p>
    <w:p w:rsidR="00D36F10" w:rsidRPr="00D36F10" w:rsidRDefault="00742473" w:rsidP="00D36F10">
      <w:pPr>
        <w:widowControl w:val="0"/>
        <w:tabs>
          <w:tab w:val="left" w:pos="840"/>
        </w:tabs>
        <w:spacing w:line="294" w:lineRule="exact"/>
        <w:ind w:left="1080"/>
        <w:rPr>
          <w:rFonts w:ascii="Times New Roman" w:hAnsi="Times New Roman" w:cs="Times New Roman"/>
          <w:bCs/>
          <w:sz w:val="24"/>
          <w:szCs w:val="24"/>
        </w:rPr>
      </w:pPr>
      <w:r>
        <w:rPr>
          <w:rFonts w:ascii="Times New Roman" w:hAnsi="Times New Roman" w:cs="Times New Roman"/>
          <w:bCs/>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1741E">
        <w:rPr>
          <w:rFonts w:ascii="Times New Roman" w:hAnsi="Times New Roman" w:cs="Times New Roman"/>
          <w:b/>
          <w:bCs/>
          <w:color w:val="000000"/>
          <w:sz w:val="24"/>
          <w:szCs w:val="24"/>
        </w:rPr>
        <w:t>10/9/07</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1741E">
        <w:rPr>
          <w:rFonts w:ascii="Times New Roman" w:hAnsi="Times New Roman" w:cs="Times New Roman"/>
          <w:b/>
          <w:bCs/>
          <w:color w:val="000000"/>
          <w:sz w:val="24"/>
          <w:szCs w:val="24"/>
        </w:rPr>
        <w:t>7/21</w:t>
      </w:r>
      <w:r w:rsidRPr="009C039C">
        <w:rPr>
          <w:rFonts w:ascii="Times New Roman" w:hAnsi="Times New Roman" w:cs="Times New Roman"/>
          <w:b/>
          <w:bCs/>
          <w:color w:val="000000"/>
          <w:sz w:val="24"/>
          <w:szCs w:val="24"/>
        </w:rPr>
        <w:t>/200</w:t>
      </w:r>
      <w:r w:rsidR="00B608A3">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1741E">
        <w:rPr>
          <w:rFonts w:ascii="Times New Roman" w:hAnsi="Times New Roman" w:cs="Times New Roman"/>
          <w:b/>
          <w:bCs/>
          <w:color w:val="000000"/>
          <w:sz w:val="24"/>
          <w:szCs w:val="24"/>
        </w:rPr>
        <w:t>8/27/08</w:t>
      </w:r>
    </w:p>
    <w:p w:rsidR="005916FC" w:rsidRDefault="005916FC">
      <w:pPr>
        <w:widowControl w:val="0"/>
        <w:spacing w:line="334" w:lineRule="exact"/>
        <w:rPr>
          <w:rFonts w:ascii="Times New Roman" w:hAnsi="Times New Roman" w:cs="Times New Roman"/>
          <w:b/>
          <w:bCs/>
          <w:color w:val="264D74"/>
          <w:sz w:val="24"/>
          <w:szCs w:val="24"/>
        </w:rPr>
      </w:pPr>
    </w:p>
    <w:p w:rsidR="00FD644F" w:rsidRDefault="00FD644F">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012D17" w:rsidRPr="00012D17" w:rsidRDefault="00012D17" w:rsidP="00012D17">
      <w:pPr>
        <w:numPr>
          <w:ilvl w:val="1"/>
          <w:numId w:val="3"/>
        </w:numPr>
        <w:tabs>
          <w:tab w:val="clear" w:pos="1008"/>
          <w:tab w:val="num" w:pos="900"/>
        </w:tabs>
        <w:autoSpaceDE/>
        <w:autoSpaceDN/>
        <w:adjustRightInd/>
        <w:spacing w:before="120"/>
        <w:ind w:left="900"/>
        <w:rPr>
          <w:rFonts w:ascii="Times New Roman" w:hAnsi="Times New Roman" w:cs="Times New Roman"/>
          <w:bCs/>
          <w:sz w:val="24"/>
        </w:rPr>
      </w:pPr>
      <w:r w:rsidRPr="00012D17">
        <w:rPr>
          <w:rFonts w:ascii="Times New Roman" w:hAnsi="Times New Roman" w:cs="Times New Roman"/>
          <w:sz w:val="24"/>
        </w:rPr>
        <w:t>The Load-Serving, Purchasing-Selling Entity shall ensure that Arranged Interchange is submitted to the Interchange Authority for:</w:t>
      </w:r>
    </w:p>
    <w:p w:rsidR="00012D17" w:rsidRPr="00012D17" w:rsidRDefault="00012D17" w:rsidP="00012D17">
      <w:pPr>
        <w:numPr>
          <w:ilvl w:val="2"/>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All Dynamic Schedules at the expected average MW profile for each hour.</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396E" w:rsidRDefault="0050396E" w:rsidP="0039296B">
      <w:pPr>
        <w:pStyle w:val="Heading1"/>
        <w:rPr>
          <w:sz w:val="24"/>
          <w:szCs w:val="24"/>
        </w:rPr>
      </w:pPr>
    </w:p>
    <w:p w:rsidR="0039296B" w:rsidRPr="00FD644F" w:rsidRDefault="0050396E" w:rsidP="00FD644F">
      <w:pPr>
        <w:pStyle w:val="Heading1"/>
      </w:pPr>
      <w:r w:rsidRPr="00FD644F">
        <w:t xml:space="preserve">R1 </w:t>
      </w:r>
      <w:r w:rsidR="0039296B" w:rsidRPr="00FD644F">
        <w:t>Supporting Evidence and Documentation</w:t>
      </w:r>
    </w:p>
    <w:p w:rsidR="0039296B" w:rsidRPr="00713A72" w:rsidRDefault="0039296B" w:rsidP="0039296B">
      <w:pPr>
        <w:widowControl w:val="0"/>
        <w:spacing w:line="266" w:lineRule="exact"/>
        <w:rPr>
          <w:rFonts w:ascii="Times New Roman" w:hAnsi="Times New Roman" w:cs="Times New Roman"/>
          <w:b/>
          <w:bCs/>
          <w:color w:val="FF0000"/>
          <w:sz w:val="24"/>
          <w:szCs w:val="24"/>
        </w:rPr>
      </w:pPr>
    </w:p>
    <w:p w:rsidR="0039296B" w:rsidRPr="008A12A8" w:rsidRDefault="0039296B" w:rsidP="0039296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9296B" w:rsidRPr="008A12A8" w:rsidRDefault="0039296B" w:rsidP="0039296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9296B" w:rsidRPr="008A12A8" w:rsidTr="0039296B">
        <w:trPr>
          <w:gridAfter w:val="1"/>
          <w:wAfter w:w="1224" w:type="dxa"/>
          <w:trHeight w:val="945"/>
        </w:trPr>
        <w:tc>
          <w:tcPr>
            <w:tcW w:w="1098" w:type="dxa"/>
            <w:tcBorders>
              <w:top w:val="nil"/>
              <w:left w:val="nil"/>
              <w:bottom w:val="nil"/>
              <w:right w:val="nil"/>
            </w:tcBorders>
          </w:tcPr>
          <w:p w:rsidR="0039296B" w:rsidRPr="008A12A8" w:rsidRDefault="0039296B" w:rsidP="0039296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9296B" w:rsidRPr="008A12A8" w:rsidRDefault="0039296B" w:rsidP="0039296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9296B" w:rsidRPr="008A12A8" w:rsidRDefault="0039296B" w:rsidP="0039296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9296B" w:rsidRPr="008A12A8" w:rsidTr="0039296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9296B" w:rsidRPr="008A12A8" w:rsidTr="0039296B">
        <w:tblPrEx>
          <w:tblLook w:val="04A0" w:firstRow="1" w:lastRow="0" w:firstColumn="1" w:lastColumn="0" w:noHBand="0" w:noVBand="1"/>
        </w:tblPrEx>
        <w:tc>
          <w:tcPr>
            <w:tcW w:w="7848" w:type="dxa"/>
            <w:gridSpan w:val="2"/>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39296B">
        <w:tblPrEx>
          <w:tblLook w:val="04A0" w:firstRow="1" w:lastRow="0" w:firstColumn="1" w:lastColumn="0" w:noHBand="0" w:noVBand="1"/>
        </w:tblPrEx>
        <w:tc>
          <w:tcPr>
            <w:tcW w:w="7848" w:type="dxa"/>
            <w:gridSpan w:val="2"/>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50396E">
        <w:tblPrEx>
          <w:tblLook w:val="04A0" w:firstRow="1" w:lastRow="0" w:firstColumn="1" w:lastColumn="0" w:noHBand="0" w:noVBand="1"/>
        </w:tblPrEx>
        <w:tc>
          <w:tcPr>
            <w:tcW w:w="7848" w:type="dxa"/>
            <w:gridSpan w:val="2"/>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50396E" w:rsidRPr="008A12A8" w:rsidTr="0050396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39296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50396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50396E" w:rsidRPr="008A12A8" w:rsidTr="0050396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r>
    </w:tbl>
    <w:p w:rsidR="0039296B" w:rsidRDefault="0039296B"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012D17">
        <w:rPr>
          <w:rFonts w:ascii="Times New Roman" w:hAnsi="Times New Roman" w:cs="Times New Roman"/>
          <w:b/>
          <w:bCs/>
          <w:color w:val="264D74"/>
          <w:sz w:val="24"/>
          <w:szCs w:val="24"/>
        </w:rPr>
        <w:t>INT-001</w:t>
      </w:r>
      <w:r>
        <w:rPr>
          <w:rFonts w:ascii="Times New Roman" w:hAnsi="Times New Roman" w:cs="Times New Roman"/>
          <w:b/>
          <w:bCs/>
          <w:color w:val="264D74"/>
          <w:sz w:val="24"/>
          <w:szCs w:val="24"/>
        </w:rPr>
        <w:t>-</w:t>
      </w:r>
      <w:r w:rsidR="00012D17">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1F18B7" w:rsidRPr="001F18B7" w:rsidRDefault="00C46F97" w:rsidP="001F18B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F18B7" w:rsidRPr="001F18B7">
        <w:t xml:space="preserve"> </w:t>
      </w:r>
      <w:r w:rsidR="001F18B7" w:rsidRPr="001F18B7">
        <w:rPr>
          <w:rFonts w:ascii="Times New Roman" w:hAnsi="Times New Roman" w:cs="Times New Roman"/>
          <w:color w:val="365F91"/>
          <w:sz w:val="24"/>
          <w:szCs w:val="24"/>
        </w:rPr>
        <w:t xml:space="preserve">Determine if the entity submitted to the Interchange Authority the Arranged Interchange </w:t>
      </w:r>
    </w:p>
    <w:p w:rsidR="00AD5422" w:rsidRPr="00A74C27" w:rsidRDefault="001F18B7" w:rsidP="001F18B7">
      <w:pPr>
        <w:widowControl w:val="0"/>
        <w:tabs>
          <w:tab w:val="left" w:pos="1080"/>
        </w:tabs>
        <w:spacing w:line="284" w:lineRule="exact"/>
        <w:ind w:left="1620" w:hanging="1620"/>
        <w:rPr>
          <w:rFonts w:ascii="Times New Roman" w:hAnsi="Times New Roman" w:cs="Times New Roman"/>
          <w:color w:val="365F91"/>
          <w:sz w:val="24"/>
          <w:szCs w:val="24"/>
        </w:rPr>
      </w:pPr>
      <w:r w:rsidRPr="001F18B7">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1F18B7">
        <w:rPr>
          <w:rFonts w:ascii="Times New Roman" w:hAnsi="Times New Roman" w:cs="Times New Roman"/>
          <w:color w:val="365F91"/>
          <w:sz w:val="24"/>
          <w:szCs w:val="24"/>
        </w:rPr>
        <w:t>for all Dynamic Schedules at the expected average MW profile for each hour</w:t>
      </w:r>
      <w:r>
        <w:rPr>
          <w:rFonts w:ascii="Times New Roman" w:hAnsi="Times New Roman" w:cs="Times New Roman"/>
          <w:color w:val="365F91"/>
          <w:sz w:val="24"/>
          <w:szCs w:val="24"/>
        </w:rPr>
        <w:t>.</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D644F" w:rsidRPr="009C039C" w:rsidRDefault="00FD644F"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12D17" w:rsidRDefault="00012D17" w:rsidP="00012D17">
      <w:pPr>
        <w:rPr>
          <w:rFonts w:ascii="Times New Roman" w:hAnsi="Times New Roman" w:cs="Times New Roman"/>
          <w:b/>
          <w:bCs/>
          <w:sz w:val="24"/>
          <w:szCs w:val="24"/>
        </w:rPr>
      </w:pPr>
    </w:p>
    <w:p w:rsidR="00012D17" w:rsidRPr="00012D17" w:rsidRDefault="00012D17" w:rsidP="00012D17">
      <w:pPr>
        <w:numPr>
          <w:ilvl w:val="1"/>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The Sink Balancing Authority shall ensure that Arranged Interchange is submitted to the Interchange Authority:</w:t>
      </w:r>
    </w:p>
    <w:p w:rsidR="00012D17" w:rsidRPr="00012D17" w:rsidRDefault="00012D17" w:rsidP="00012D17">
      <w:pPr>
        <w:numPr>
          <w:ilvl w:val="2"/>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If a Purchasing-Selling Entity is not involved in the Interchange, such as delivery from a jointly owned generator.</w:t>
      </w:r>
    </w:p>
    <w:p w:rsidR="00012D17" w:rsidRPr="00012D17" w:rsidRDefault="00012D17" w:rsidP="00012D17">
      <w:pPr>
        <w:numPr>
          <w:ilvl w:val="2"/>
          <w:numId w:val="3"/>
        </w:numPr>
        <w:autoSpaceDE/>
        <w:autoSpaceDN/>
        <w:adjustRightInd/>
        <w:spacing w:before="120" w:after="120"/>
        <w:rPr>
          <w:rFonts w:ascii="Times New Roman" w:hAnsi="Times New Roman" w:cs="Times New Roman"/>
          <w:bCs/>
          <w:sz w:val="24"/>
        </w:rPr>
      </w:pPr>
      <w:r w:rsidRPr="00012D17">
        <w:rPr>
          <w:rFonts w:ascii="Times New Roman" w:hAnsi="Times New Roman" w:cs="Times New Roman"/>
          <w:sz w:val="24"/>
        </w:rPr>
        <w:t xml:space="preserve">For each </w:t>
      </w:r>
      <w:r w:rsidRPr="00012D17">
        <w:rPr>
          <w:rFonts w:ascii="Times New Roman" w:hAnsi="Times New Roman" w:cs="Times New Roman"/>
          <w:bCs/>
          <w:sz w:val="24"/>
        </w:rPr>
        <w:t>bilateral Inadvertent Interchange payback.</w:t>
      </w:r>
    </w:p>
    <w:p w:rsidR="00012D17" w:rsidRPr="00A74C27" w:rsidRDefault="00012D17" w:rsidP="00012D17">
      <w:pPr>
        <w:widowControl w:val="0"/>
        <w:tabs>
          <w:tab w:val="left" w:pos="720"/>
          <w:tab w:val="left" w:pos="1350"/>
        </w:tabs>
        <w:spacing w:line="294" w:lineRule="exact"/>
        <w:ind w:left="1980" w:hanging="1980"/>
        <w:rPr>
          <w:rFonts w:ascii="Times New Roman" w:hAnsi="Times New Roman" w:cs="Times New Roman"/>
          <w:b/>
          <w:bCs/>
          <w:sz w:val="24"/>
          <w:szCs w:val="24"/>
        </w:rPr>
      </w:pPr>
    </w:p>
    <w:p w:rsidR="00012D17" w:rsidRPr="009C039C" w:rsidRDefault="00012D17" w:rsidP="00012D1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12D17" w:rsidRPr="009C039C" w:rsidRDefault="00012D17" w:rsidP="00012D17">
      <w:pPr>
        <w:widowControl w:val="0"/>
        <w:tabs>
          <w:tab w:val="left" w:pos="720"/>
        </w:tabs>
        <w:spacing w:line="186" w:lineRule="exact"/>
        <w:ind w:left="720"/>
        <w:rPr>
          <w:rFonts w:ascii="Times New Roman" w:hAnsi="Times New Roman" w:cs="Times New Roman"/>
          <w:sz w:val="24"/>
          <w:szCs w:val="24"/>
        </w:rPr>
      </w:pPr>
    </w:p>
    <w:p w:rsidR="00012D17" w:rsidRPr="009C039C" w:rsidRDefault="00012D17" w:rsidP="00012D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12D17" w:rsidRPr="009C039C" w:rsidRDefault="00012D17" w:rsidP="00012D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2D17" w:rsidRPr="00713A72" w:rsidRDefault="00012D17" w:rsidP="00012D17">
      <w:pPr>
        <w:widowControl w:val="0"/>
        <w:tabs>
          <w:tab w:val="left" w:pos="900"/>
          <w:tab w:val="left" w:pos="6360"/>
        </w:tabs>
        <w:spacing w:line="294" w:lineRule="exact"/>
        <w:rPr>
          <w:rFonts w:ascii="Times New Roman" w:hAnsi="Times New Roman" w:cs="Times New Roman"/>
          <w:b/>
          <w:i/>
          <w:iCs/>
          <w:color w:val="FF0000"/>
          <w:sz w:val="24"/>
          <w:szCs w:val="24"/>
        </w:rPr>
      </w:pPr>
    </w:p>
    <w:p w:rsidR="008A12A8" w:rsidRPr="00FD644F" w:rsidRDefault="008A12A8" w:rsidP="00FD644F">
      <w:pPr>
        <w:pStyle w:val="Heading1"/>
      </w:pPr>
      <w:r w:rsidRPr="00FD644F">
        <w:t>R2 Supporting Evidence and Documentation</w:t>
      </w:r>
    </w:p>
    <w:p w:rsidR="008A12A8" w:rsidRPr="00713A72" w:rsidRDefault="008A12A8" w:rsidP="008A12A8">
      <w:pPr>
        <w:widowControl w:val="0"/>
        <w:spacing w:line="266" w:lineRule="exact"/>
        <w:rPr>
          <w:rFonts w:ascii="Times New Roman" w:hAnsi="Times New Roman" w:cs="Times New Roman"/>
          <w:b/>
          <w:bCs/>
          <w:color w:val="FF0000"/>
          <w:sz w:val="24"/>
          <w:szCs w:val="24"/>
        </w:rPr>
      </w:pPr>
    </w:p>
    <w:p w:rsidR="008A12A8" w:rsidRPr="008A12A8" w:rsidRDefault="008A12A8" w:rsidP="008A12A8">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8A12A8" w:rsidRPr="008A12A8" w:rsidRDefault="008A12A8" w:rsidP="008A12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A12A8" w:rsidRPr="008A12A8" w:rsidTr="00A80D06">
        <w:trPr>
          <w:gridAfter w:val="1"/>
          <w:wAfter w:w="1224" w:type="dxa"/>
          <w:trHeight w:val="945"/>
        </w:trPr>
        <w:tc>
          <w:tcPr>
            <w:tcW w:w="1098" w:type="dxa"/>
            <w:tcBorders>
              <w:top w:val="nil"/>
              <w:left w:val="nil"/>
              <w:bottom w:val="nil"/>
              <w:right w:val="nil"/>
            </w:tcBorders>
          </w:tcPr>
          <w:p w:rsidR="008A12A8" w:rsidRPr="008A12A8" w:rsidRDefault="008A12A8" w:rsidP="00A80D0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A12A8" w:rsidRPr="008A12A8" w:rsidRDefault="008A12A8" w:rsidP="00A80D06">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8A12A8" w:rsidRPr="008A12A8" w:rsidRDefault="008A12A8" w:rsidP="00A80D06">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8A12A8" w:rsidRPr="008A12A8" w:rsidTr="00A80D0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A12A8" w:rsidRPr="008A12A8" w:rsidTr="00A80D06">
        <w:tblPrEx>
          <w:tblLook w:val="04A0" w:firstRow="1" w:lastRow="0" w:firstColumn="1" w:lastColumn="0" w:noHBand="0" w:noVBand="1"/>
        </w:tblPrEx>
        <w:tc>
          <w:tcPr>
            <w:tcW w:w="7848" w:type="dxa"/>
            <w:gridSpan w:val="2"/>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bl>
    <w:p w:rsidR="0050396E" w:rsidRDefault="0050396E" w:rsidP="00012D17">
      <w:pPr>
        <w:widowControl w:val="0"/>
        <w:tabs>
          <w:tab w:val="left" w:pos="900"/>
          <w:tab w:val="left" w:pos="6360"/>
        </w:tabs>
        <w:spacing w:line="294" w:lineRule="exact"/>
        <w:rPr>
          <w:rFonts w:ascii="Times New Roman" w:hAnsi="Times New Roman" w:cs="Times New Roman"/>
          <w:b/>
          <w:i/>
          <w:iCs/>
          <w:color w:val="C00000"/>
          <w:sz w:val="24"/>
          <w:szCs w:val="24"/>
        </w:rPr>
      </w:pPr>
    </w:p>
    <w:p w:rsidR="00012D17" w:rsidRDefault="00012D17" w:rsidP="00012D1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12D17" w:rsidRDefault="00012D17" w:rsidP="00012D17">
      <w:pPr>
        <w:widowControl w:val="0"/>
        <w:tabs>
          <w:tab w:val="left" w:pos="900"/>
          <w:tab w:val="left" w:pos="6360"/>
        </w:tabs>
        <w:spacing w:line="294" w:lineRule="exact"/>
        <w:rPr>
          <w:rFonts w:ascii="Times New Roman" w:hAnsi="Times New Roman" w:cs="Times New Roman"/>
          <w:b/>
          <w:i/>
          <w:iCs/>
          <w:color w:val="C00000"/>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INT-001-3</w:t>
      </w:r>
      <w:r w:rsidRPr="009C039C">
        <w:rPr>
          <w:rFonts w:ascii="Times New Roman" w:hAnsi="Times New Roman" w:cs="Times New Roman"/>
          <w:b/>
          <w:bCs/>
          <w:color w:val="264D74"/>
          <w:sz w:val="24"/>
          <w:szCs w:val="24"/>
        </w:rPr>
        <w:t xml:space="preserve"> R</w:t>
      </w:r>
      <w:r w:rsidR="001F18B7">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012D17" w:rsidRPr="009C039C" w:rsidRDefault="00012D17" w:rsidP="00012D17">
      <w:pPr>
        <w:widowControl w:val="0"/>
        <w:spacing w:line="106" w:lineRule="exact"/>
        <w:rPr>
          <w:rFonts w:ascii="Times New Roman" w:hAnsi="Times New Roman" w:cs="Times New Roman"/>
          <w:sz w:val="24"/>
          <w:szCs w:val="24"/>
        </w:rPr>
      </w:pPr>
    </w:p>
    <w:p w:rsidR="00012D17" w:rsidRPr="009C039C" w:rsidRDefault="00012D17" w:rsidP="00012D17">
      <w:pPr>
        <w:widowControl w:val="0"/>
        <w:spacing w:line="147" w:lineRule="exact"/>
        <w:rPr>
          <w:rFonts w:ascii="Times New Roman" w:hAnsi="Times New Roman" w:cs="Times New Roman"/>
          <w:sz w:val="24"/>
          <w:szCs w:val="24"/>
        </w:rPr>
      </w:pPr>
    </w:p>
    <w:p w:rsidR="001F18B7" w:rsidRPr="001F18B7" w:rsidRDefault="00012D17" w:rsidP="001F18B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sidR="001F18B7" w:rsidRPr="001F18B7">
        <w:t xml:space="preserve"> </w:t>
      </w:r>
      <w:r w:rsidR="001F18B7" w:rsidRPr="001F18B7">
        <w:rPr>
          <w:rFonts w:ascii="Times New Roman" w:hAnsi="Times New Roman" w:cs="Times New Roman"/>
          <w:color w:val="365F91"/>
          <w:sz w:val="24"/>
          <w:szCs w:val="24"/>
        </w:rPr>
        <w:t xml:space="preserve">A Purchasing Selling Entity is not involved in the interchange, such as a delivery from a </w:t>
      </w:r>
    </w:p>
    <w:p w:rsidR="00012D17" w:rsidRPr="00A74C27" w:rsidRDefault="001F18B7" w:rsidP="001F18B7">
      <w:pPr>
        <w:widowControl w:val="0"/>
        <w:tabs>
          <w:tab w:val="left" w:pos="1080"/>
        </w:tabs>
        <w:spacing w:line="284" w:lineRule="exact"/>
        <w:ind w:left="1620" w:hanging="1620"/>
        <w:rPr>
          <w:rFonts w:ascii="Times New Roman" w:hAnsi="Times New Roman" w:cs="Times New Roman"/>
          <w:color w:val="365F91"/>
          <w:sz w:val="24"/>
          <w:szCs w:val="24"/>
        </w:rPr>
      </w:pPr>
      <w:r w:rsidRPr="001F18B7">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1F18B7">
        <w:rPr>
          <w:rFonts w:ascii="Times New Roman" w:hAnsi="Times New Roman" w:cs="Times New Roman"/>
          <w:color w:val="365F91"/>
          <w:sz w:val="24"/>
          <w:szCs w:val="24"/>
        </w:rPr>
        <w:t>jointly owned generator.</w:t>
      </w:r>
    </w:p>
    <w:p w:rsidR="00012D17" w:rsidRDefault="00012D17" w:rsidP="00012D1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012D17" w:rsidRPr="00A74C27" w:rsidRDefault="00012D17" w:rsidP="00012D1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001F18B7" w:rsidRPr="001F18B7">
        <w:rPr>
          <w:rFonts w:ascii="Times New Roman" w:hAnsi="Times New Roman" w:cs="Times New Roman"/>
          <w:color w:val="365F91"/>
          <w:sz w:val="24"/>
          <w:szCs w:val="24"/>
        </w:rPr>
        <w:t>___</w:t>
      </w:r>
      <w:r w:rsidR="001F18B7" w:rsidRPr="001F18B7">
        <w:rPr>
          <w:rFonts w:ascii="Times New Roman" w:hAnsi="Times New Roman" w:cs="Times New Roman"/>
          <w:color w:val="365F91"/>
          <w:sz w:val="24"/>
          <w:szCs w:val="24"/>
        </w:rPr>
        <w:tab/>
        <w:t>For each bilateral Inadvertent Interchange payback</w:t>
      </w:r>
      <w:r w:rsidR="001F18B7">
        <w:rPr>
          <w:rFonts w:ascii="Times New Roman" w:hAnsi="Times New Roman" w:cs="Times New Roman"/>
          <w:color w:val="365F91"/>
          <w:sz w:val="24"/>
          <w:szCs w:val="24"/>
        </w:rPr>
        <w:t>.</w:t>
      </w:r>
    </w:p>
    <w:p w:rsidR="00012D17"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12D17" w:rsidRPr="009C039C" w:rsidRDefault="00012D17" w:rsidP="00012D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2D17" w:rsidRPr="009C039C" w:rsidRDefault="00012D17" w:rsidP="00012D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Pr="009C039C" w:rsidRDefault="00FD644F"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8F15F1" w:rsidRPr="00A7057B" w:rsidRDefault="008F15F1" w:rsidP="008F15F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D36F10" w:rsidRPr="008A12A8" w:rsidRDefault="008A12A8" w:rsidP="00FD644F">
      <w:pPr>
        <w:pStyle w:val="Heading1"/>
      </w:pPr>
      <w:r w:rsidRPr="008A12A8">
        <w:rPr>
          <w:sz w:val="36"/>
          <w:szCs w:val="36"/>
        </w:rPr>
        <w:t>Compliance Findings Summary</w:t>
      </w:r>
      <w:r w:rsidRPr="008A12A8">
        <w:t xml:space="preserve"> </w:t>
      </w:r>
      <w:r w:rsidRPr="00FD644F">
        <w:rPr>
          <w:sz w:val="24"/>
          <w:szCs w:val="24"/>
        </w:rPr>
        <w:t>(to be filled out by auditor)</w:t>
      </w:r>
    </w:p>
    <w:p w:rsidR="008A12A8" w:rsidRPr="008A12A8" w:rsidRDefault="008A12A8" w:rsidP="00D36F10">
      <w:pPr>
        <w:rPr>
          <w:color w:val="365F91"/>
        </w:rPr>
      </w:pPr>
    </w:p>
    <w:tbl>
      <w:tblPr>
        <w:tblW w:w="0" w:type="auto"/>
        <w:tblLayout w:type="fixed"/>
        <w:tblLook w:val="00A0" w:firstRow="1" w:lastRow="0" w:firstColumn="1" w:lastColumn="0" w:noHBand="0" w:noVBand="0"/>
      </w:tblPr>
      <w:tblGrid>
        <w:gridCol w:w="691"/>
        <w:gridCol w:w="538"/>
        <w:gridCol w:w="572"/>
        <w:gridCol w:w="1064"/>
        <w:gridCol w:w="753"/>
        <w:gridCol w:w="7398"/>
      </w:tblGrid>
      <w:tr w:rsidR="00713A72" w:rsidRPr="008A12A8" w:rsidTr="00713A72">
        <w:tc>
          <w:tcPr>
            <w:tcW w:w="691"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Req.</w:t>
            </w:r>
          </w:p>
        </w:tc>
        <w:tc>
          <w:tcPr>
            <w:tcW w:w="538"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NF</w:t>
            </w:r>
          </w:p>
        </w:tc>
        <w:tc>
          <w:tcPr>
            <w:tcW w:w="572"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PV</w:t>
            </w:r>
          </w:p>
        </w:tc>
        <w:tc>
          <w:tcPr>
            <w:tcW w:w="1064"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OEA</w:t>
            </w:r>
          </w:p>
        </w:tc>
        <w:tc>
          <w:tcPr>
            <w:tcW w:w="753"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NA</w:t>
            </w:r>
          </w:p>
        </w:tc>
        <w:tc>
          <w:tcPr>
            <w:tcW w:w="7398"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Statement</w:t>
            </w:r>
          </w:p>
        </w:tc>
      </w:tr>
      <w:tr w:rsidR="00713A72" w:rsidRPr="008A12A8" w:rsidTr="00713A72">
        <w:tc>
          <w:tcPr>
            <w:tcW w:w="691"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1064"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53"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398"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r>
      <w:tr w:rsidR="00713A72" w:rsidRPr="008A12A8" w:rsidTr="00713A72">
        <w:tc>
          <w:tcPr>
            <w:tcW w:w="691"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2</w:t>
            </w:r>
          </w:p>
        </w:tc>
        <w:tc>
          <w:tcPr>
            <w:tcW w:w="538"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1064"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53" w:type="dxa"/>
            <w:tcBorders>
              <w:top w:val="single" w:sz="4" w:space="0" w:color="548DD4"/>
              <w:left w:val="single" w:sz="4" w:space="0" w:color="548DD4"/>
              <w:bottom w:val="single" w:sz="4" w:space="0" w:color="548DD4"/>
              <w:right w:val="single" w:sz="4" w:space="0" w:color="548DD4"/>
            </w:tcBorders>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398"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Default="00625E8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From FERC Orders -- For Reference Purposes Only</w:t>
      </w:r>
    </w:p>
    <w:p w:rsidR="00625E81" w:rsidRDefault="00625E81"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B1187E">
        <w:rPr>
          <w:rFonts w:ascii="Times New Roman" w:hAnsi="Times New Roman" w:cs="Times New Roman"/>
          <w:b/>
          <w:sz w:val="24"/>
          <w:szCs w:val="24"/>
        </w:rPr>
        <w:t>September 2, 2010</w:t>
      </w:r>
    </w:p>
    <w:p w:rsidR="00625E81" w:rsidRDefault="00D11AC2"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w:t>
      </w:r>
      <w:r w:rsidR="00012D17">
        <w:rPr>
          <w:rFonts w:ascii="Times New Roman" w:hAnsi="Times New Roman" w:cs="Times New Roman"/>
          <w:b/>
          <w:sz w:val="24"/>
          <w:szCs w:val="24"/>
        </w:rPr>
        <w:t>1</w:t>
      </w:r>
      <w:r>
        <w:rPr>
          <w:rFonts w:ascii="Times New Roman" w:hAnsi="Times New Roman" w:cs="Times New Roman"/>
          <w:b/>
          <w:sz w:val="24"/>
          <w:szCs w:val="24"/>
        </w:rPr>
        <w:t>-3</w:t>
      </w:r>
    </w:p>
    <w:bookmarkEnd w:id="2"/>
    <w:bookmarkEnd w:id="3"/>
    <w:p w:rsidR="00625E81" w:rsidRDefault="00625E81" w:rsidP="00625E81">
      <w:pPr>
        <w:rPr>
          <w:rFonts w:ascii="Times New Roman" w:hAnsi="Times New Roman" w:cs="Times New Roman"/>
          <w:sz w:val="24"/>
          <w:szCs w:val="24"/>
        </w:rPr>
      </w:pPr>
    </w:p>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E41B53" w:rsidRDefault="00B1741E"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E41B53" w:rsidRDefault="00E41B53" w:rsidP="00625E81">
      <w:pPr>
        <w:rPr>
          <w:rFonts w:ascii="Times New Roman" w:hAnsi="Times New Roman" w:cs="Times New Roman"/>
          <w:b/>
          <w:sz w:val="24"/>
          <w:szCs w:val="24"/>
        </w:rPr>
      </w:pPr>
    </w:p>
    <w:p w:rsidR="00E41B53" w:rsidRDefault="00E41B53" w:rsidP="00625E81">
      <w:pPr>
        <w:rPr>
          <w:rFonts w:ascii="Times New Roman" w:hAnsi="Times New Roman" w:cs="Times New Roman"/>
          <w:b/>
          <w:sz w:val="24"/>
          <w:szCs w:val="24"/>
        </w:rPr>
      </w:pPr>
      <w:r>
        <w:rPr>
          <w:rFonts w:ascii="Times New Roman" w:hAnsi="Times New Roman" w:cs="Times New Roman"/>
          <w:b/>
          <w:sz w:val="24"/>
          <w:szCs w:val="24"/>
        </w:rPr>
        <w:t>INT-001-2</w:t>
      </w:r>
    </w:p>
    <w:p w:rsidR="00E41B53" w:rsidRDefault="00E41B53" w:rsidP="00625E81">
      <w:pPr>
        <w:rPr>
          <w:rFonts w:ascii="Times New Roman" w:hAnsi="Times New Roman" w:cs="Times New Roman"/>
          <w:b/>
          <w:sz w:val="24"/>
          <w:szCs w:val="24"/>
        </w:rPr>
      </w:pPr>
    </w:p>
    <w:p w:rsidR="00E41B53" w:rsidRDefault="00E41B53" w:rsidP="00E41B53">
      <w:pPr>
        <w:rPr>
          <w:rFonts w:ascii="Times New Roman" w:hAnsi="Times New Roman" w:cs="Times New Roman"/>
          <w:sz w:val="26"/>
          <w:szCs w:val="26"/>
        </w:rPr>
      </w:pPr>
      <w:r>
        <w:rPr>
          <w:rFonts w:ascii="Times New Roman" w:hAnsi="Times New Roman" w:cs="Times New Roman"/>
          <w:sz w:val="26"/>
          <w:szCs w:val="26"/>
        </w:rPr>
        <w:t>814. The Commission approves INT-001-2 as a mandatory and enforceable Reliability Standard. In addition, we direct the ERO to develop modifications to the Reliability Standard through the Reliability Standards development process, as discussed below.</w:t>
      </w:r>
    </w:p>
    <w:p w:rsidR="00E41B53" w:rsidRDefault="00E41B53" w:rsidP="00E41B53">
      <w:pPr>
        <w:rPr>
          <w:rFonts w:ascii="Times New Roman" w:hAnsi="Times New Roman" w:cs="Times New Roman"/>
          <w:sz w:val="26"/>
          <w:szCs w:val="26"/>
        </w:rPr>
      </w:pPr>
    </w:p>
    <w:p w:rsidR="00E41B53" w:rsidRPr="00E41B53" w:rsidRDefault="00E41B53" w:rsidP="00E41B53">
      <w:pPr>
        <w:rPr>
          <w:rFonts w:ascii="Times New Roman" w:hAnsi="Times New Roman" w:cs="Times New Roman"/>
          <w:sz w:val="26"/>
          <w:szCs w:val="26"/>
        </w:rPr>
      </w:pPr>
      <w:r>
        <w:rPr>
          <w:rFonts w:ascii="Times New Roman" w:hAnsi="Times New Roman" w:cs="Times New Roman"/>
          <w:sz w:val="26"/>
          <w:szCs w:val="26"/>
        </w:rPr>
        <w:t>821. Accordingly, the Commission approves Reliability Standard INT-001-2 as mandatory and enforceable. In addition, the Commission directs the ERO to develop a modification to INT-001-2 through its Reliability Standards development process that includes a Requirement that interchange information must be submitted for all point-to point transfers entirely within a balancing authority area, including all grandfathered and “non-Order No. 888” transfers.</w:t>
      </w:r>
    </w:p>
    <w:p w:rsidR="00281790" w:rsidRDefault="00281790" w:rsidP="00BC2E03">
      <w:pPr>
        <w:pStyle w:val="Header"/>
        <w:rPr>
          <w:rFonts w:ascii="Times New Roman" w:hAnsi="Times New Roman" w:cs="Times New Roman"/>
          <w:sz w:val="24"/>
          <w:szCs w:val="24"/>
        </w:rPr>
      </w:pPr>
    </w:p>
    <w:p w:rsidR="00BC2E03" w:rsidRPr="000D77A9" w:rsidRDefault="00BC2E03" w:rsidP="00BC2E03">
      <w:pPr>
        <w:pStyle w:val="Header"/>
        <w:rPr>
          <w:rFonts w:ascii="Times New Roman" w:hAnsi="Times New Roman" w:cs="Times New Roman"/>
          <w:b/>
          <w:sz w:val="24"/>
          <w:szCs w:val="24"/>
        </w:rPr>
      </w:pPr>
    </w:p>
    <w:p w:rsidR="00BC2E03" w:rsidRPr="000D77A9" w:rsidRDefault="00BC2E03" w:rsidP="00BC2E03">
      <w:pPr>
        <w:rPr>
          <w:rFonts w:ascii="TimesNewRomanPSMT" w:hAnsi="TimesNewRomanPSMT" w:cs="TimesNewRomanPSMT"/>
          <w:b/>
          <w:sz w:val="26"/>
          <w:szCs w:val="26"/>
        </w:rPr>
      </w:pPr>
      <w:r w:rsidRPr="000D77A9">
        <w:rPr>
          <w:rFonts w:ascii="TimesNewRomanPSMT" w:hAnsi="TimesNewRomanPSMT" w:cs="TimesNewRomanPSMT"/>
          <w:b/>
          <w:sz w:val="26"/>
          <w:szCs w:val="26"/>
        </w:rPr>
        <w:t>Order 713</w:t>
      </w:r>
    </w:p>
    <w:p w:rsidR="00BC2E03" w:rsidRDefault="00B1187E" w:rsidP="00BC2E03">
      <w:pPr>
        <w:rPr>
          <w:rFonts w:ascii="TimesNewRomanPSMT" w:hAnsi="TimesNewRomanPSMT" w:cs="TimesNewRomanPSMT"/>
          <w:b/>
          <w:sz w:val="26"/>
          <w:szCs w:val="26"/>
        </w:rPr>
      </w:pPr>
      <w:r>
        <w:rPr>
          <w:rFonts w:ascii="TimesNewRomanPSMT" w:hAnsi="TimesNewRomanPSMT" w:cs="TimesNewRomanPSMT"/>
          <w:b/>
          <w:sz w:val="26"/>
          <w:szCs w:val="26"/>
        </w:rPr>
        <w:t>July 21, 2008</w:t>
      </w:r>
    </w:p>
    <w:p w:rsidR="00B1187E" w:rsidRDefault="00B1187E" w:rsidP="00BC2E03">
      <w:pPr>
        <w:rPr>
          <w:rFonts w:ascii="TimesNewRomanPSMT" w:hAnsi="TimesNewRomanPSMT" w:cs="TimesNewRomanPSMT"/>
          <w:b/>
          <w:sz w:val="26"/>
          <w:szCs w:val="26"/>
        </w:rPr>
      </w:pPr>
    </w:p>
    <w:p w:rsidR="00B1187E" w:rsidRPr="000D77A9" w:rsidRDefault="00B1187E" w:rsidP="00BC2E03">
      <w:pPr>
        <w:rPr>
          <w:rFonts w:ascii="TimesNewRomanPSMT" w:hAnsi="TimesNewRomanPSMT" w:cs="TimesNewRomanPSMT"/>
          <w:b/>
          <w:sz w:val="26"/>
          <w:szCs w:val="26"/>
        </w:rPr>
      </w:pPr>
      <w:r>
        <w:rPr>
          <w:rFonts w:ascii="TimesNewRomanPSMT" w:hAnsi="TimesNewRomanPSMT" w:cs="TimesNewRomanPSMT"/>
          <w:b/>
          <w:sz w:val="26"/>
          <w:szCs w:val="26"/>
        </w:rPr>
        <w:t>INT-001-3</w:t>
      </w:r>
    </w:p>
    <w:p w:rsidR="00BC2E03" w:rsidRDefault="00BC2E03" w:rsidP="00BC2E03">
      <w:pPr>
        <w:rPr>
          <w:rFonts w:ascii="TimesNewRomanPSMT" w:hAnsi="TimesNewRomanPSMT" w:cs="TimesNewRomanPSMT"/>
          <w:sz w:val="26"/>
          <w:szCs w:val="26"/>
        </w:rPr>
      </w:pPr>
    </w:p>
    <w:p w:rsidR="00BC2E03" w:rsidRDefault="00BC2E03" w:rsidP="00BC2E03">
      <w:pPr>
        <w:rPr>
          <w:rFonts w:ascii="TimesNewRomanPSMT" w:hAnsi="TimesNewRomanPSMT" w:cs="TimesNewRomanPSMT"/>
          <w:sz w:val="26"/>
          <w:szCs w:val="26"/>
        </w:rPr>
      </w:pPr>
      <w:r>
        <w:rPr>
          <w:rFonts w:ascii="TimesNewRomanPSMT" w:hAnsi="TimesNewRomanPSMT" w:cs="TimesNewRomanPSMT"/>
          <w:sz w:val="26"/>
          <w:szCs w:val="26"/>
        </w:rPr>
        <w:t>54. In its December 26, 2007 filing, NERC stated that, by rescinding the e-tagging waivers, NERC maintains uniformity and makes no structural changes to the requirements in the current Commission-approved version of the Reliability Standards.</w:t>
      </w:r>
    </w:p>
    <w:p w:rsidR="00BC2E03" w:rsidRDefault="00BC2E03" w:rsidP="00BC2E03">
      <w:pPr>
        <w:rPr>
          <w:rFonts w:ascii="TimesNewRomanPSMT" w:hAnsi="TimesNewRomanPSMT" w:cs="TimesNewRomanPSMT"/>
          <w:sz w:val="26"/>
          <w:szCs w:val="26"/>
        </w:rPr>
      </w:pPr>
    </w:p>
    <w:p w:rsidR="00BC2E03" w:rsidRPr="00BC2E03" w:rsidRDefault="00BC2E03" w:rsidP="00BC2E03">
      <w:pPr>
        <w:rPr>
          <w:rFonts w:ascii="TimesNewRomanPSMT" w:hAnsi="TimesNewRomanPSMT" w:cs="TimesNewRomanPSMT"/>
          <w:sz w:val="26"/>
          <w:szCs w:val="26"/>
        </w:rPr>
      </w:pPr>
      <w:r>
        <w:rPr>
          <w:rFonts w:ascii="TimesNewRomanPSMT" w:hAnsi="TimesNewRomanPSMT" w:cs="TimesNewRomanPSMT"/>
          <w:sz w:val="26"/>
          <w:szCs w:val="26"/>
        </w:rPr>
        <w:t>57. Pursuant to section 215(d) of the FPA, the Commission approves Reliability Standards INT-001-3 and INT-004-2 as mandatory and enforceable.</w:t>
      </w:r>
    </w:p>
    <w:p w:rsidR="001F45CF" w:rsidRDefault="001F45CF" w:rsidP="00625E81">
      <w:pPr>
        <w:pStyle w:val="Header"/>
        <w:jc w:val="right"/>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FD644F" w:rsidRDefault="00FD644F" w:rsidP="001F45CF">
      <w:pPr>
        <w:rPr>
          <w:rFonts w:ascii="Times New Roman" w:hAnsi="Times New Roman" w:cs="Times New Roman"/>
          <w:b/>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1F45CF" w:rsidRPr="00B2607F" w:rsidTr="001F18B7">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742473" w:rsidP="00FD644F">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RSAW Working Group</w:t>
            </w:r>
          </w:p>
        </w:tc>
        <w:tc>
          <w:tcPr>
            <w:tcW w:w="522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1F45CF" w:rsidRPr="00B2607F" w:rsidTr="001F18B7">
        <w:tc>
          <w:tcPr>
            <w:tcW w:w="1016" w:type="dxa"/>
          </w:tcPr>
          <w:p w:rsidR="001F45CF" w:rsidRPr="00B2607F" w:rsidRDefault="00742473"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1F18B7">
        <w:tc>
          <w:tcPr>
            <w:tcW w:w="1016" w:type="dxa"/>
          </w:tcPr>
          <w:p w:rsidR="001F45CF" w:rsidRPr="00B2607F" w:rsidRDefault="001F18B7"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 xml:space="preserve">October 2010 </w:t>
            </w:r>
          </w:p>
        </w:tc>
        <w:tc>
          <w:tcPr>
            <w:tcW w:w="2340"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Craig Struck - NERC</w:t>
            </w:r>
          </w:p>
        </w:tc>
        <w:tc>
          <w:tcPr>
            <w:tcW w:w="5220"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Updated Compliance Assessment Approach errors.</w:t>
            </w:r>
          </w:p>
        </w:tc>
      </w:tr>
      <w:tr w:rsidR="001F45CF" w:rsidRPr="00B2607F" w:rsidTr="00D049DC">
        <w:tc>
          <w:tcPr>
            <w:tcW w:w="1016" w:type="dxa"/>
            <w:vAlign w:val="center"/>
          </w:tcPr>
          <w:p w:rsidR="001F45CF" w:rsidRPr="00B2607F" w:rsidRDefault="00D049DC" w:rsidP="00D049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vAlign w:val="center"/>
          </w:tcPr>
          <w:p w:rsidR="001F45CF" w:rsidRPr="00B2607F" w:rsidRDefault="00D049DC" w:rsidP="00FD644F">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vAlign w:val="center"/>
          </w:tcPr>
          <w:p w:rsidR="001F45CF" w:rsidRPr="00B2607F" w:rsidRDefault="00D049DC" w:rsidP="00FD644F">
            <w:pPr>
              <w:rPr>
                <w:rFonts w:ascii="Times New Roman" w:hAnsi="Times New Roman" w:cs="Times New Roman"/>
                <w:sz w:val="24"/>
                <w:szCs w:val="24"/>
              </w:rPr>
            </w:pPr>
            <w:r>
              <w:rPr>
                <w:rFonts w:ascii="Times New Roman" w:hAnsi="Times New Roman" w:cs="Times New Roman"/>
                <w:sz w:val="24"/>
                <w:szCs w:val="24"/>
              </w:rPr>
              <w:t>QRSW WG</w:t>
            </w:r>
          </w:p>
        </w:tc>
        <w:tc>
          <w:tcPr>
            <w:tcW w:w="5220" w:type="dxa"/>
          </w:tcPr>
          <w:p w:rsidR="001F45CF" w:rsidRPr="00B2607F" w:rsidRDefault="00D049DC" w:rsidP="00DC23F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FD644F" w:rsidTr="00FD644F">
        <w:tc>
          <w:tcPr>
            <w:tcW w:w="1016" w:type="dxa"/>
            <w:tcBorders>
              <w:top w:val="single" w:sz="4" w:space="0" w:color="000000"/>
              <w:left w:val="single" w:sz="4" w:space="0" w:color="000000"/>
              <w:bottom w:val="single" w:sz="4" w:space="0" w:color="000000"/>
              <w:right w:val="single" w:sz="4" w:space="0" w:color="000000"/>
            </w:tcBorders>
          </w:tcPr>
          <w:p w:rsidR="00FD644F" w:rsidRDefault="00FD644F" w:rsidP="00C607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p>
        </w:tc>
        <w:tc>
          <w:tcPr>
            <w:tcW w:w="1882" w:type="dxa"/>
          </w:tcPr>
          <w:p w:rsidR="001F45CF" w:rsidRPr="00B2607F" w:rsidRDefault="001F45CF" w:rsidP="00DC23F3">
            <w:pPr>
              <w:rPr>
                <w:rFonts w:ascii="Times New Roman" w:hAnsi="Times New Roman" w:cs="Times New Roman"/>
                <w:sz w:val="24"/>
                <w:szCs w:val="24"/>
              </w:rPr>
            </w:pPr>
          </w:p>
        </w:tc>
        <w:tc>
          <w:tcPr>
            <w:tcW w:w="234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FD644F" w:rsidRPr="00B2607F" w:rsidTr="001F18B7">
        <w:tc>
          <w:tcPr>
            <w:tcW w:w="1016" w:type="dxa"/>
          </w:tcPr>
          <w:p w:rsidR="00FD644F" w:rsidRPr="00B2607F" w:rsidRDefault="00FD644F" w:rsidP="00DC23F3">
            <w:pPr>
              <w:jc w:val="center"/>
              <w:rPr>
                <w:rFonts w:ascii="Times New Roman" w:hAnsi="Times New Roman" w:cs="Times New Roman"/>
                <w:sz w:val="24"/>
                <w:szCs w:val="24"/>
              </w:rPr>
            </w:pPr>
          </w:p>
        </w:tc>
        <w:tc>
          <w:tcPr>
            <w:tcW w:w="1882" w:type="dxa"/>
          </w:tcPr>
          <w:p w:rsidR="00FD644F" w:rsidRPr="00B2607F" w:rsidRDefault="00FD644F" w:rsidP="00DC23F3">
            <w:pPr>
              <w:rPr>
                <w:rFonts w:ascii="Times New Roman" w:hAnsi="Times New Roman" w:cs="Times New Roman"/>
                <w:sz w:val="24"/>
                <w:szCs w:val="24"/>
              </w:rPr>
            </w:pPr>
          </w:p>
        </w:tc>
        <w:tc>
          <w:tcPr>
            <w:tcW w:w="2340" w:type="dxa"/>
          </w:tcPr>
          <w:p w:rsidR="00FD644F" w:rsidRPr="00B2607F" w:rsidRDefault="00FD644F" w:rsidP="00DC23F3">
            <w:pPr>
              <w:rPr>
                <w:rFonts w:ascii="Times New Roman" w:hAnsi="Times New Roman" w:cs="Times New Roman"/>
                <w:sz w:val="24"/>
                <w:szCs w:val="24"/>
              </w:rPr>
            </w:pPr>
          </w:p>
        </w:tc>
        <w:tc>
          <w:tcPr>
            <w:tcW w:w="5220" w:type="dxa"/>
          </w:tcPr>
          <w:p w:rsidR="00FD644F" w:rsidRPr="00B2607F" w:rsidRDefault="00FD644F" w:rsidP="00DC23F3">
            <w:pPr>
              <w:rPr>
                <w:rFonts w:ascii="Times New Roman" w:hAnsi="Times New Roman" w:cs="Times New Roman"/>
                <w:sz w:val="24"/>
                <w:szCs w:val="24"/>
              </w:rPr>
            </w:pP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p>
        </w:tc>
        <w:tc>
          <w:tcPr>
            <w:tcW w:w="1882" w:type="dxa"/>
          </w:tcPr>
          <w:p w:rsidR="001F45CF" w:rsidRPr="00B2607F" w:rsidRDefault="001F45CF" w:rsidP="00DC23F3">
            <w:pPr>
              <w:rPr>
                <w:rFonts w:ascii="Times New Roman" w:hAnsi="Times New Roman" w:cs="Times New Roman"/>
                <w:sz w:val="24"/>
                <w:szCs w:val="24"/>
              </w:rPr>
            </w:pPr>
          </w:p>
        </w:tc>
        <w:tc>
          <w:tcPr>
            <w:tcW w:w="234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2A1" w:rsidRDefault="00AC02A1">
      <w:r>
        <w:separator/>
      </w:r>
    </w:p>
  </w:endnote>
  <w:endnote w:type="continuationSeparator" w:id="0">
    <w:p w:rsidR="00AC02A1" w:rsidRDefault="00AC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7EF" w:rsidRDefault="004847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96E" w:rsidRPr="00323003" w:rsidRDefault="0050396E"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50396E" w:rsidRDefault="0050396E"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50396E" w:rsidRPr="00872AF8" w:rsidRDefault="0050396E"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INT-001</w:t>
    </w:r>
    <w:r w:rsidRPr="00872AF8">
      <w:rPr>
        <w:rFonts w:ascii="Times New Roman" w:hAnsi="Times New Roman"/>
        <w:sz w:val="18"/>
        <w:szCs w:val="18"/>
      </w:rPr>
      <w:t>-</w:t>
    </w:r>
    <w:r>
      <w:rPr>
        <w:rFonts w:ascii="Times New Roman" w:hAnsi="Times New Roman"/>
        <w:sz w:val="18"/>
        <w:szCs w:val="18"/>
      </w:rPr>
      <w:t>3</w:t>
    </w:r>
    <w:r w:rsidRPr="00872AF8">
      <w:rPr>
        <w:rFonts w:ascii="Times New Roman" w:hAnsi="Times New Roman"/>
        <w:sz w:val="18"/>
        <w:szCs w:val="18"/>
      </w:rPr>
      <w:t>_</w:t>
    </w:r>
    <w:r>
      <w:rPr>
        <w:rFonts w:ascii="Times New Roman" w:hAnsi="Times New Roman"/>
        <w:sz w:val="18"/>
        <w:szCs w:val="18"/>
      </w:rPr>
      <w:t>201</w:t>
    </w:r>
    <w:r w:rsidR="00A9700A">
      <w:rPr>
        <w:rFonts w:ascii="Times New Roman" w:hAnsi="Times New Roman"/>
        <w:sz w:val="18"/>
        <w:szCs w:val="18"/>
      </w:rPr>
      <w:t>1</w:t>
    </w:r>
    <w:r w:rsidRPr="00872AF8">
      <w:rPr>
        <w:rFonts w:ascii="Times New Roman" w:hAnsi="Times New Roman"/>
        <w:sz w:val="18"/>
        <w:szCs w:val="18"/>
      </w:rPr>
      <w:t>_v1</w:t>
    </w:r>
  </w:p>
  <w:p w:rsidR="0050396E" w:rsidRPr="00872AF8" w:rsidRDefault="0050396E"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9700A">
      <w:rPr>
        <w:rFonts w:ascii="Times New Roman" w:hAnsi="Times New Roman" w:cs="Times New Roman"/>
        <w:color w:val="000000"/>
        <w:sz w:val="18"/>
        <w:szCs w:val="18"/>
      </w:rPr>
      <w:t>January 2011</w:t>
    </w:r>
  </w:p>
  <w:p w:rsidR="0050396E" w:rsidRPr="00323003" w:rsidRDefault="0050396E"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730E9E">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7EF" w:rsidRDefault="004847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2A1" w:rsidRDefault="00AC02A1">
      <w:r>
        <w:separator/>
      </w:r>
    </w:p>
  </w:footnote>
  <w:footnote w:type="continuationSeparator" w:id="0">
    <w:p w:rsidR="00AC02A1" w:rsidRDefault="00AC0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7EF" w:rsidRDefault="004847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96E" w:rsidRDefault="0050396E">
    <w:pPr>
      <w:widowControl w:val="0"/>
      <w:spacing w:line="240" w:lineRule="exact"/>
      <w:rPr>
        <w:rFonts w:cs="Times New Roman"/>
      </w:rPr>
    </w:pPr>
  </w:p>
  <w:p w:rsidR="0050396E" w:rsidRPr="006813F3" w:rsidRDefault="0050396E" w:rsidP="00D36F1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0396E" w:rsidRPr="006813F3" w:rsidRDefault="004847EF" w:rsidP="00D36F10">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0396E" w:rsidRDefault="00AA642B">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50396E" w:rsidRDefault="005039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7EF" w:rsidRDefault="00484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136983"/>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
    <w:nsid w:val="6F4F71BF"/>
    <w:multiLevelType w:val="multilevel"/>
    <w:tmpl w:val="4E1E3FF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807"/>
    <w:rsid w:val="00012D17"/>
    <w:rsid w:val="000157A2"/>
    <w:rsid w:val="00015C26"/>
    <w:rsid w:val="00032BC0"/>
    <w:rsid w:val="00057A68"/>
    <w:rsid w:val="0009108B"/>
    <w:rsid w:val="000A4478"/>
    <w:rsid w:val="000B4B1F"/>
    <w:rsid w:val="000D77A9"/>
    <w:rsid w:val="000E2855"/>
    <w:rsid w:val="000F0A1C"/>
    <w:rsid w:val="000F4AF6"/>
    <w:rsid w:val="000F4D35"/>
    <w:rsid w:val="000F5E13"/>
    <w:rsid w:val="00100FD6"/>
    <w:rsid w:val="00116F8E"/>
    <w:rsid w:val="001308E2"/>
    <w:rsid w:val="00141A3B"/>
    <w:rsid w:val="00165410"/>
    <w:rsid w:val="00192C6D"/>
    <w:rsid w:val="001A60CC"/>
    <w:rsid w:val="001D467F"/>
    <w:rsid w:val="001F18B7"/>
    <w:rsid w:val="001F45CF"/>
    <w:rsid w:val="00207A7A"/>
    <w:rsid w:val="002478D9"/>
    <w:rsid w:val="00260B45"/>
    <w:rsid w:val="00281790"/>
    <w:rsid w:val="002C6986"/>
    <w:rsid w:val="00323003"/>
    <w:rsid w:val="003258FF"/>
    <w:rsid w:val="0035604C"/>
    <w:rsid w:val="00357F68"/>
    <w:rsid w:val="0036144D"/>
    <w:rsid w:val="00373724"/>
    <w:rsid w:val="0039296B"/>
    <w:rsid w:val="00396135"/>
    <w:rsid w:val="003B631E"/>
    <w:rsid w:val="003C6E93"/>
    <w:rsid w:val="003D15B9"/>
    <w:rsid w:val="003E0982"/>
    <w:rsid w:val="003E5FE5"/>
    <w:rsid w:val="003E7EDF"/>
    <w:rsid w:val="0040362C"/>
    <w:rsid w:val="00404D27"/>
    <w:rsid w:val="00426E53"/>
    <w:rsid w:val="0043649E"/>
    <w:rsid w:val="00443293"/>
    <w:rsid w:val="004550E5"/>
    <w:rsid w:val="00464DE7"/>
    <w:rsid w:val="00473790"/>
    <w:rsid w:val="004847EF"/>
    <w:rsid w:val="004A25CF"/>
    <w:rsid w:val="004E0362"/>
    <w:rsid w:val="00502DF8"/>
    <w:rsid w:val="0050396E"/>
    <w:rsid w:val="005136A0"/>
    <w:rsid w:val="0055246A"/>
    <w:rsid w:val="00565AEF"/>
    <w:rsid w:val="0059110B"/>
    <w:rsid w:val="005916FC"/>
    <w:rsid w:val="005934DC"/>
    <w:rsid w:val="005D1D5C"/>
    <w:rsid w:val="005D58A1"/>
    <w:rsid w:val="00607435"/>
    <w:rsid w:val="00613FA3"/>
    <w:rsid w:val="00625E81"/>
    <w:rsid w:val="00647DE9"/>
    <w:rsid w:val="00656ADB"/>
    <w:rsid w:val="00675E27"/>
    <w:rsid w:val="00684DDA"/>
    <w:rsid w:val="0068557F"/>
    <w:rsid w:val="006E1CC0"/>
    <w:rsid w:val="0071094E"/>
    <w:rsid w:val="00713A72"/>
    <w:rsid w:val="00730E9E"/>
    <w:rsid w:val="00742473"/>
    <w:rsid w:val="00756289"/>
    <w:rsid w:val="007A0E0C"/>
    <w:rsid w:val="007B45C5"/>
    <w:rsid w:val="007C44D6"/>
    <w:rsid w:val="007C659D"/>
    <w:rsid w:val="00832FF7"/>
    <w:rsid w:val="008539DC"/>
    <w:rsid w:val="00853A30"/>
    <w:rsid w:val="00861282"/>
    <w:rsid w:val="00894768"/>
    <w:rsid w:val="00894CCA"/>
    <w:rsid w:val="008A12A8"/>
    <w:rsid w:val="008C5E4C"/>
    <w:rsid w:val="008F15F1"/>
    <w:rsid w:val="008F2767"/>
    <w:rsid w:val="00917067"/>
    <w:rsid w:val="00937B5C"/>
    <w:rsid w:val="00952818"/>
    <w:rsid w:val="009A1984"/>
    <w:rsid w:val="009C039C"/>
    <w:rsid w:val="009C4318"/>
    <w:rsid w:val="009C4340"/>
    <w:rsid w:val="009D3D62"/>
    <w:rsid w:val="00A10643"/>
    <w:rsid w:val="00A40A99"/>
    <w:rsid w:val="00A657F2"/>
    <w:rsid w:val="00A74C27"/>
    <w:rsid w:val="00A80D06"/>
    <w:rsid w:val="00A86374"/>
    <w:rsid w:val="00A9700A"/>
    <w:rsid w:val="00AA642B"/>
    <w:rsid w:val="00AC02A1"/>
    <w:rsid w:val="00AD5422"/>
    <w:rsid w:val="00AF0C27"/>
    <w:rsid w:val="00B06DE8"/>
    <w:rsid w:val="00B1187E"/>
    <w:rsid w:val="00B1741E"/>
    <w:rsid w:val="00B258AF"/>
    <w:rsid w:val="00B435EE"/>
    <w:rsid w:val="00B608A3"/>
    <w:rsid w:val="00BB611C"/>
    <w:rsid w:val="00BC2E03"/>
    <w:rsid w:val="00BE1264"/>
    <w:rsid w:val="00BE2A33"/>
    <w:rsid w:val="00BF207D"/>
    <w:rsid w:val="00BF3B49"/>
    <w:rsid w:val="00C048FC"/>
    <w:rsid w:val="00C060E7"/>
    <w:rsid w:val="00C11EDD"/>
    <w:rsid w:val="00C23A94"/>
    <w:rsid w:val="00C27903"/>
    <w:rsid w:val="00C46F97"/>
    <w:rsid w:val="00C568DC"/>
    <w:rsid w:val="00C607B8"/>
    <w:rsid w:val="00CC452E"/>
    <w:rsid w:val="00CC56C2"/>
    <w:rsid w:val="00CD08F5"/>
    <w:rsid w:val="00CD5258"/>
    <w:rsid w:val="00CF5895"/>
    <w:rsid w:val="00D049DC"/>
    <w:rsid w:val="00D11AC2"/>
    <w:rsid w:val="00D33732"/>
    <w:rsid w:val="00D36F10"/>
    <w:rsid w:val="00D4013D"/>
    <w:rsid w:val="00D45934"/>
    <w:rsid w:val="00D54754"/>
    <w:rsid w:val="00D5513A"/>
    <w:rsid w:val="00D830A2"/>
    <w:rsid w:val="00DA44A1"/>
    <w:rsid w:val="00DB1295"/>
    <w:rsid w:val="00DC23F3"/>
    <w:rsid w:val="00DE3654"/>
    <w:rsid w:val="00E0105E"/>
    <w:rsid w:val="00E2133B"/>
    <w:rsid w:val="00E41B53"/>
    <w:rsid w:val="00E57E67"/>
    <w:rsid w:val="00E679D3"/>
    <w:rsid w:val="00E8453A"/>
    <w:rsid w:val="00E93387"/>
    <w:rsid w:val="00EB2DD5"/>
    <w:rsid w:val="00EC1F61"/>
    <w:rsid w:val="00ED0E7C"/>
    <w:rsid w:val="00EE621B"/>
    <w:rsid w:val="00F009F3"/>
    <w:rsid w:val="00F7559B"/>
    <w:rsid w:val="00FB1214"/>
    <w:rsid w:val="00FD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109DDA-AED6-421E-AE70-012C444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F15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47924647">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INT-001-3</Number>
    <Date xmlns="987b8a77-3dc6-4154-9fe1-b1e590735b19">2011-01-25T05:00:00+00:00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480D33-8E73-46A9-9A45-F15606927CDA}"/>
</file>

<file path=customXml/itemProps2.xml><?xml version="1.0" encoding="utf-8"?>
<ds:datastoreItem xmlns:ds="http://schemas.openxmlformats.org/officeDocument/2006/customXml" ds:itemID="{DCDBC55F-787E-455C-9030-5610A16988AA}"/>
</file>

<file path=customXml/itemProps3.xml><?xml version="1.0" encoding="utf-8"?>
<ds:datastoreItem xmlns:ds="http://schemas.openxmlformats.org/officeDocument/2006/customXml" ds:itemID="{6F52E0BB-6D02-40B5-A0CD-63C288507E33}"/>
</file>

<file path=customXml/itemProps4.xml><?xml version="1.0" encoding="utf-8"?>
<ds:datastoreItem xmlns:ds="http://schemas.openxmlformats.org/officeDocument/2006/customXml" ds:itemID="{842FFC12-19FE-48D5-9DE4-0CE683CF1322}"/>
</file>

<file path=customXml/itemProps5.xml><?xml version="1.0" encoding="utf-8"?>
<ds:datastoreItem xmlns:ds="http://schemas.openxmlformats.org/officeDocument/2006/customXml" ds:itemID="{75BBBB5C-1FA8-424D-8D42-99F2AEE20237}"/>
</file>

<file path=customXml/itemProps6.xml><?xml version="1.0" encoding="utf-8"?>
<ds:datastoreItem xmlns:ds="http://schemas.openxmlformats.org/officeDocument/2006/customXml" ds:itemID="{0BF4442F-F8B1-45E6-AC32-785F137C12E0}"/>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Interchange Information</vt:lpstr>
      <vt:lpstr/>
      <vt:lpstr>Subject Matter Experts</vt:lpstr>
      <vt:lpstr/>
      <vt:lpstr/>
      <vt:lpstr/>
      <vt:lpstr/>
      <vt:lpstr/>
      <vt:lpstr/>
      <vt:lpstr/>
      <vt:lpstr/>
      <vt:lpstr/>
      <vt:lpstr/>
      <vt:lpstr/>
      <vt:lpstr/>
      <vt:lpstr/>
      <vt:lpstr/>
      <vt:lpstr>Reliability Standard Language</vt:lpstr>
      <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7857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Information</dc:title>
  <dc:subject/>
  <dc:creator>NERC</dc:creator>
  <cp:keywords/>
  <dc:description/>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NERCASSETID-406-47</vt:lpwstr>
  </property>
  <property fmtid="{D5CDD505-2E9C-101B-9397-08002B2CF9AE}" pid="3" name="_dlc_DocIdItemGuid">
    <vt:lpwstr>db738d82-8e1e-4813-8781-492fe36c0f77</vt:lpwstr>
  </property>
  <property fmtid="{D5CDD505-2E9C-101B-9397-08002B2CF9AE}" pid="4" name="_dlc_DocIdUrl">
    <vt:lpwstr>http://www.nerc.com/pa/comp/_layouts/DocIdRedir.aspx?ID=NERCASSETID-406-47, NERCASSETID-406-47</vt:lpwstr>
  </property>
  <property fmtid="{D5CDD505-2E9C-101B-9397-08002B2CF9AE}" pid="5" name="xd_Signature">
    <vt:lpwstr/>
  </property>
  <property fmtid="{D5CDD505-2E9C-101B-9397-08002B2CF9AE}" pid="6" name="Order">
    <vt:lpwstr>4700.00000000000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